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AC" w:rsidRDefault="00290E2C">
      <w:pPr>
        <w:spacing w:after="0" w:line="240" w:lineRule="auto"/>
        <w:ind w:right="-58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-90720</wp:posOffset>
                </wp:positionH>
                <wp:positionV relativeFrom="paragraph">
                  <wp:posOffset>79920</wp:posOffset>
                </wp:positionV>
                <wp:extent cx="6348960" cy="9033840"/>
                <wp:effectExtent l="38100" t="38100" r="32790" b="33960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960" cy="903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2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A3DAC" w:rsidRDefault="00290E2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АНТИТЕРРОРИСТИЧЕСКАЯ КОМИССИЯ</w:t>
                            </w:r>
                          </w:p>
                          <w:p w:rsidR="00BA3DAC" w:rsidRDefault="00290E2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BA3DAC" w:rsidRDefault="00BA3DAC"/>
                          <w:p w:rsidR="00BA3DAC" w:rsidRDefault="00BA3DAC"/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290E2C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ПОРЯДОК ОРГАНИЗАЦИИ ОХРАННЫХ МЕРОПРИЯТИЙ, ОБЕСПЕЧЕНИЯ ОБХОДА (ОСМОТРА) УЯЗВИМЫХ МЕСТ (УЧАСТКОВ), А ТАКЖЕ ПЕРИОДИЧНОСТИ ПРОВЕРОК (ОБХОДА И ОСМОТРА) ЗДАНИЙ (СТРОЕНИЙ, СООРУЖЕНИЙ), СИСТЕМ ПОДЗЕМНЫХ КОММУНИКАЦИЙ И СТОЯНОК АВТОМОБИЛЬНОГО ТРАНСПОРТА</w:t>
                            </w: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290E2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(методические рекомендации)</w:t>
                            </w: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E59FB" w:rsidRDefault="00AE59FB">
                            <w:pPr>
                              <w:spacing w:after="0" w:line="240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BA3DA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A3DAC" w:rsidRDefault="00290E2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BA3DAC" w:rsidRDefault="00290E2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7.15pt;margin-top:6.3pt;width:499.9pt;height:71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" strokeweight="2.12mm">
                <v:textbox>
                  <w:txbxContent>
                    <w:p w:rsidR="00BA3DAC" w:rsidRDefault="00290E2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АНТИТЕРРОРИСТИЧЕСКАЯ КОМИССИЯ</w:t>
                      </w:r>
                    </w:p>
                    <w:p w:rsidR="00BA3DAC" w:rsidRDefault="00290E2C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BA3DAC" w:rsidRDefault="00BA3DAC"/>
                    <w:p w:rsidR="00BA3DAC" w:rsidRDefault="00BA3DAC"/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290E2C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36"/>
                          <w:szCs w:val="36"/>
                          <w:shd w:val="clear" w:color="auto" w:fill="FFFFFF"/>
                        </w:rPr>
                        <w:t>ПОРЯДОК ОРГАНИЗАЦИИ ОХРАННЫХ МЕРОПРИЯТИЙ, ОБЕСПЕЧЕНИЯ ОБХОДА (ОСМОТРА) УЯЗВИМЫХ МЕСТ (УЧАСТКОВ), А ТАКЖЕ ПЕРИОДИЧНОСТИ ПРОВЕРОК (ОБХОДА И ОСМОТРА) ЗДАНИЙ (СТРОЕНИЙ, СООРУЖЕНИЙ), СИСТЕМ ПОДЗЕМНЫХ КОММУНИКАЦИЙ И СТОЯНОК АВТОМОБИЛЬНОГО ТРАНСПОРТА</w:t>
                      </w: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290E2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(методические рекомендации)</w:t>
                      </w: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</w:p>
                    <w:p w:rsidR="00AE59FB" w:rsidRDefault="00AE59FB">
                      <w:pPr>
                        <w:spacing w:after="0" w:line="240" w:lineRule="auto"/>
                        <w:jc w:val="center"/>
                      </w:pPr>
                      <w:bookmarkStart w:id="1" w:name="_GoBack"/>
                      <w:bookmarkEnd w:id="1"/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BA3DAC">
                      <w:pPr>
                        <w:spacing w:after="0" w:line="240" w:lineRule="auto"/>
                        <w:jc w:val="center"/>
                      </w:pPr>
                    </w:p>
                    <w:p w:rsidR="00BA3DAC" w:rsidRDefault="00290E2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BA3DAC" w:rsidRDefault="00290E2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2022</w:t>
                      </w:r>
                    </w:p>
                  </w:txbxContent>
                </v:textbox>
              </v:rect>
            </w:pict>
          </mc:Fallback>
        </mc:AlternateContent>
      </w: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BA3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90E2C" w:rsidRDefault="00290E2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BA3DAC" w:rsidRDefault="00290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Общие положения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1.1. Настоящие методические рекомендации разработаны аппаратом антитеррористической комиссии в Свердловской области на основе обобщения и анализа положительного опыта работы по данному направлению деятельности в муниципальных образованиях, расположенных на территории Свердловской области (Слободо-Туринского муниципального района, Асбестовского и Талицкого городских округов, городских округов Богданович, Дегтярск и Нижняя Салда), для внедрения на территории Свердловской области единого подхода к обеспечению исполнения требований Федерального закона от 6 марта 2006 года № 35-ФЗ «О противодействии терроризму» и постановлений Правительства Российской Федерации, утверждающих требования к антитеррористической защищенности объектов (территорий), относящихся к различным сферам деятельности: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(территорий)»;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 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от 07.11.2019 № 1421 «Об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</w:t>
      </w:r>
      <w:r>
        <w:rPr>
          <w:rFonts w:ascii="Liberation Serif" w:hAnsi="Liberation Serif" w:cs="Liberation Serif"/>
          <w:sz w:val="28"/>
          <w:szCs w:val="28"/>
        </w:rPr>
        <w:lastRenderedPageBreak/>
        <w:t>паспорта безопасности этих объектов (территорий) и признании утратившими силу некоторых актов Правительства Российской Федерации»;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 В настоящих рекомендациях применяются следующие основные термины и определения: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 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 система передачи тревожных сообщений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совокупность совместно действующих технических средств для передачи по каналам связи и приема в пункте централизованной охраны извещений о проникновении на охраняемые объекты (территории) и (или) пожаре на них, служебных и контрольно-диагностических извещений, а также для передачи и приема команд телеуправления;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уязвимые места – критические элементы объекта, в отношении которых в 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</w:t>
      </w:r>
    </w:p>
    <w:p w:rsidR="00BA3DAC" w:rsidRDefault="00290E2C">
      <w:pPr>
        <w:pStyle w:val="aa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</w:t>
      </w:r>
    </w:p>
    <w:p w:rsidR="00BA3DAC" w:rsidRDefault="00290E2C">
      <w:pPr>
        <w:pStyle w:val="aa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</w:t>
      </w:r>
    </w:p>
    <w:p w:rsidR="00BA3DAC" w:rsidRDefault="00290E2C">
      <w:pPr>
        <w:pStyle w:val="aa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 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 Основными задачами охраны объекта (территории) являются: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– воспрепятствование неправомерному проникновению на объекты (территории);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на выявление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пресечение попыток совершения террористических актов на объектах (территориях);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выявление и предотвращение несанкционированного проноса (провоза) и 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1.4. Выявление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обеспечивается путем: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неукоснительного соблюдения на объектах (территориях) пропускного и внутриобъектового режимов;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принятия к нарушителям пропускного и внутриобъектового режимов мер ответственности, предусмотренных законодательством Российской Федерации;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исключения бесконтрольного пребывания на объектах (территориях) посторонних лиц и нахождения транспортных средств;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поддержания в исправном состоянии инженерно-технических средств и систем охраны, оснащения бесперебойной и устойчивой связью объектов (территорий);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контроля за состоянием систем подземных коммуникаций, стоянок транспорта, складских помещений;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 Обеспечение охраны объекта (территории)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 Система охраны объекта (территории) включает в себя совокупность сил и средств для выполнения задач по охране объекта (территории).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 На объектах (территориях) охранные мероприятия рекомендуется организовывать в зависимости от степени угрозы совершения на них террористических актов и возможных последствий их совершения.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2.3. В целях обеспечения антитеррористической защищенности объектов (территорий) </w:t>
      </w:r>
      <w:r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вне зависимости категории опасности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осуществляются: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– пропускной и внутриобъектовый режимы, а также контроль за их функционированием;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– 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textAlignment w:val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– исключение бесконтрольного пребывания на объекте (территории) посторонних лиц и нахождения транспортных средств, в том числе в непосредственной близости от объекта (территории);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2.4. Пресечение попыток совершения террористических актов на объектах (территориях) достигается посредством: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организации и обеспечения пропускного и внутриобъектового режимов на объектах (территориях);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 объекты (территории);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организации санкционированного допуска на объекты (территории) посетителей и автотранспортных средств;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организации круглосуточных охранных мероприятий, обеспечения ежедневного обхода и осмотра уязвимых мест и участков объектов (территорий), а также периодической проверки (обхода и осмотра) зданий (строений, сооружений) и территории со складскими и подсобными помещениями;</w:t>
      </w:r>
    </w:p>
    <w:p w:rsidR="00BA3DAC" w:rsidRDefault="00290E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осуществления контроля за состоянием помещений, используемых для проведения мероприятий с массовым пребыванием людей.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2.5. 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тветственность за обеспечение антитеррористической защищенности объектов (территорий)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возлагается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руководителей объектов (территорий), а также исполнительные органы государственной власти, органы местного самоуправления, реализующие функции учредителя организаций, использующих объекты (территории).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2.6. Все объекты (территории) </w:t>
      </w:r>
      <w:r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вне зависимости категории опасности оснащаются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системами передачи тревожных сообщений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подразделения </w:t>
      </w:r>
      <w:r>
        <w:rPr>
          <w:rFonts w:ascii="Liberation Serif" w:hAnsi="Liberation Serif" w:cs="Liberation Serif"/>
          <w:sz w:val="28"/>
          <w:szCs w:val="28"/>
        </w:rPr>
        <w:t xml:space="preserve">вневедомственной охраны войск национальной </w:t>
      </w:r>
      <w:r>
        <w:rPr>
          <w:rFonts w:ascii="Liberation Serif" w:hAnsi="Liberation Serif" w:cs="Liberation Serif"/>
          <w:color w:val="333333"/>
          <w:sz w:val="28"/>
          <w:szCs w:val="28"/>
        </w:rPr>
        <w:t xml:space="preserve">гвардии Российской Федерации (далее – Росгвардия)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или в систему обеспечения вызова экстренных оперативных служб по единому номеру «112» (далее – Служба 112).</w:t>
      </w:r>
    </w:p>
    <w:p w:rsidR="00BA3DAC" w:rsidRDefault="00290E2C">
      <w:pPr>
        <w:pStyle w:val="aa"/>
        <w:ind w:firstLine="709"/>
        <w:jc w:val="both"/>
      </w:pPr>
      <w:r>
        <w:rPr>
          <w:rFonts w:ascii="Liberation Serif" w:hAnsi="Liberation Serif" w:cs="Liberation Serif"/>
          <w:color w:val="333333"/>
          <w:sz w:val="28"/>
          <w:szCs w:val="28"/>
        </w:rPr>
        <w:t xml:space="preserve">2.7. Охрана объектов (территорий) осуществляется сотрудниками частных охранных организаций, подразделениями вневедомственной охраны Росгвардии, или подразделениями ведомственной охраны федеральных органов </w:t>
      </w:r>
      <w:r>
        <w:rPr>
          <w:rFonts w:ascii="Liberation Serif" w:hAnsi="Liberation Serif" w:cs="Liberation Serif"/>
          <w:sz w:val="28"/>
          <w:szCs w:val="28"/>
        </w:rPr>
        <w:t xml:space="preserve">исполнительной власти, имеющих право на создание ведомственной охраны (далее – подразделения охраны), на основании договоров (контрактов)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оказание охранных услуг с организацией и технических заданий на оказание охранных услуг.</w:t>
      </w:r>
    </w:p>
    <w:p w:rsidR="00BA3DAC" w:rsidRDefault="00290E2C">
      <w:pPr>
        <w:pStyle w:val="aa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2.8.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 Решение о привлечении подразделений охраны для обеспечения антитеррористической защищенности объекта (территории) принимается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должностным лицом, осуществляющим непосредственное руководство деятельностью работников на объекте (территории), 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с учетом ограничений, установленных законодательством Российской Федерации, регулирующим частную охранную деятельность и ведомственную охрану.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 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2.9. Подразделения охраны несут ответственность согласно договору на охрану и функциональным обязанностям.  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2.10. Обязанности сотрудника, осуществляющего охрану объекта (территории) (далее – охранник) определяются его должностной (служебной) инструкцией и положением об организации пропускного и внутриобъектового режимов.  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2.11. На посту охраны должны быть: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телефонный аппарат, средство тревожных сообщений, средства мобильной связи;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инструкция о правилах пользования средством тревожной сигнализации;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–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номера телефонов Службы 112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территориального подразделения Управления Федеральной службы безопасности Российской Федерации по 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Росгвардии, администрации организации, а также иных заинтересованных подразделений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должностная инструкция охранника;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инструкция (памятка) по действиям должностных лиц и работников при совершении либо угрозе совершения террористического акта;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журналы обхода территории, регистрации посетителей, автотранспорта, выдачи ключей и приема помещений под охрану, приема и сдачи дежурства и контроля за несением службы;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планы проводимых практических занятий, тренировок и учений;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графики дежурств ответственных лиц в праздничные и выходные дни.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2.12. </w:t>
      </w:r>
      <w:r>
        <w:rPr>
          <w:rFonts w:ascii="Liberation Serif" w:hAnsi="Liberation Serif" w:cs="Liberation Serif"/>
          <w:b/>
          <w:sz w:val="28"/>
          <w:szCs w:val="28"/>
        </w:rPr>
        <w:t xml:space="preserve">Порядок организации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круглосуточных охранных мероприятий, обеспечения ежедневного обхода (осмотра) уязвимых мест (участков), а также периодичности проверок (обхода и осмотра) зданий (строений, сооружений), систем подземных коммуникаций и стоянок автомобильного транспорта определяется и утверждается организационно-распорядительным документом организации – правообладателя объекта (территории) или правовым актом исполнительного органа государственной власти или органа местного самоуправления, реализующего функции учредителя организаций, использующих объекты (территории).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2.13. Круглосуточные охранные мероприятия осуществляются с использованием систем видеонаблюдения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передачи тревожных сообщений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2.14. При осуществлении круглосуточных охранных мероприятий охранник должен знать: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должностную инструкцию;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особенности охраняемого объекта и прилегающей к нему территории, расположение и порядок работы охранно-пожарной и тревожной сигнализации, средств связи, пожаротушения, правила их использования и обслуживания;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– общие условия и меры по обеспечению безопасности объекта (территории), его уязвимые места;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– порядок взаимодействия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 территориальным подразделением УФСБ, территориальным органом МВД России и подразделением вневедомственной охраны Росгвардии;</w:t>
      </w:r>
    </w:p>
    <w:p w:rsidR="00BA3DAC" w:rsidRDefault="00290E2C">
      <w:pPr>
        <w:pStyle w:val="a8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правила внутреннего распорядка организации, а также правила осмотра ручной клади и автотранспорта.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2.15. Охраннику необходимо: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– перед заступлением на пост осуществлять обход (принимать участие в обходе, проводимом администрацией) объекта (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уязвимых мест, участков, </w:t>
      </w:r>
      <w:r>
        <w:rPr>
          <w:rFonts w:ascii="Liberation Serif" w:hAnsi="Liberation Serif" w:cs="Liberation Serif"/>
          <w:sz w:val="28"/>
          <w:szCs w:val="28"/>
        </w:rPr>
        <w:t>зданий, строений, сооружений)</w:t>
      </w:r>
      <w:r>
        <w:rPr>
          <w:rFonts w:ascii="Liberation Serif" w:hAnsi="Liberation Serif" w:cs="Liberation Serif"/>
          <w:iCs/>
          <w:sz w:val="28"/>
          <w:szCs w:val="28"/>
        </w:rPr>
        <w:t>, о чем делать запись в журнале обхода территории;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проверять наличие и исправность оборудования (согласно описи) и отсутствие повреждений на окнах и дверях;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проверять исправность работы средств связи,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– осуществлять пропускной режим на объекте (территории) в соответствии с утвержденным Положением;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– обеспечивать контроль за складывающейся обстановкой на территории объекта;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– 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</w:t>
      </w:r>
    </w:p>
    <w:p w:rsidR="00BA3DAC" w:rsidRDefault="00290E2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– проводить обход (осмотр) объекта (территории) согласно установленному графику обходов, но не мене 3 раз в день: перед началом производственного (учебного) процесса и после его окончания, о чем делать соответствующие записи в журнале обхода (осмотра) объекта (территории);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 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(в случае их наличия) в дневное время не менее 2 раз, а в ночное время не менее 3 раз </w:t>
      </w:r>
      <w:r>
        <w:rPr>
          <w:rFonts w:ascii="Liberation Serif" w:hAnsi="Liberation Serif" w:cs="Liberation Serif"/>
          <w:color w:val="000000"/>
          <w:sz w:val="28"/>
          <w:szCs w:val="28"/>
        </w:rPr>
        <w:t>с фиксацией результатов обхода (осмотра) в специальном журнале, форма которого заблаговременно утверждается организационно-распорядительным документом или правовым актом.</w:t>
      </w:r>
    </w:p>
    <w:p w:rsidR="00BA3DAC" w:rsidRDefault="00290E2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2.16. Вне зависимости от категории опасности объекта (территории) образования ответственным лицам рекомендуется проводить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3 часа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а в ночное время каждые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2 часа </w:t>
      </w:r>
      <w:r>
        <w:rPr>
          <w:rFonts w:ascii="Liberation Serif" w:hAnsi="Liberation Serif" w:cs="Liberation Serif"/>
          <w:color w:val="000000"/>
          <w:sz w:val="28"/>
          <w:szCs w:val="28"/>
        </w:rPr>
        <w:t>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</w:t>
      </w:r>
    </w:p>
    <w:sectPr w:rsidR="00BA3DAC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45" w:rsidRDefault="00290E2C">
      <w:pPr>
        <w:spacing w:after="0" w:line="240" w:lineRule="auto"/>
      </w:pPr>
      <w:r>
        <w:separator/>
      </w:r>
    </w:p>
  </w:endnote>
  <w:endnote w:type="continuationSeparator" w:id="0">
    <w:p w:rsidR="00B00945" w:rsidRDefault="0029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45" w:rsidRDefault="00290E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0945" w:rsidRDefault="0029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6D" w:rsidRDefault="00290E2C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E59FB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1346D" w:rsidRDefault="00AE59F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10A4"/>
    <w:multiLevelType w:val="multilevel"/>
    <w:tmpl w:val="3B882CC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3DAC"/>
    <w:rsid w:val="00290E2C"/>
    <w:rsid w:val="00AE59FB"/>
    <w:rsid w:val="00B00945"/>
    <w:rsid w:val="00BA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Textbody">
    <w:name w:val="Text body"/>
    <w:basedOn w:val="a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rtejustify1">
    <w:name w:val="rtejustify1"/>
    <w:basedOn w:val="a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0">
    <w:name w:val="Основной текст2"/>
    <w:basedOn w:val="a"/>
    <w:pPr>
      <w:shd w:val="clear" w:color="auto" w:fill="FFFFFF"/>
      <w:spacing w:before="300" w:after="0" w:line="379" w:lineRule="exact"/>
      <w:ind w:firstLine="709"/>
      <w:jc w:val="both"/>
    </w:pPr>
  </w:style>
  <w:style w:type="paragraph" w:styleId="a8">
    <w:name w:val="Normal (Web)"/>
    <w:basedOn w:val="a"/>
    <w:pPr>
      <w:spacing w:before="10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pPr>
      <w:spacing w:before="100" w:after="100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pPr>
      <w:widowControl w:val="0"/>
      <w:suppressAutoHyphens/>
      <w:snapToGrid w:val="0"/>
      <w:spacing w:after="0" w:line="30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s1">
    <w:name w:val="s_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2">
    <w:name w:val="s_2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before="300" w:after="300" w:line="331" w:lineRule="exact"/>
      <w:textAlignment w:val="auto"/>
    </w:pPr>
  </w:style>
  <w:style w:type="paragraph" w:styleId="aa">
    <w:name w:val="No Spacing"/>
    <w:pPr>
      <w:suppressAutoHyphens/>
      <w:spacing w:after="0" w:line="240" w:lineRule="auto"/>
      <w:textAlignment w:val="auto"/>
    </w:pPr>
  </w:style>
  <w:style w:type="paragraph" w:styleId="ab">
    <w:name w:val="annotation text"/>
    <w:basedOn w:val="a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rPr>
      <w:b/>
      <w:bCs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af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Pr>
      <w:rFonts w:ascii="Times New Roman" w:hAnsi="Times New Roman"/>
      <w:b/>
      <w:sz w:val="24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rPr>
      <w:shd w:val="clear" w:color="auto" w:fill="FFFFFF"/>
    </w:rPr>
  </w:style>
  <w:style w:type="character" w:styleId="af4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FontStyle18">
    <w:name w:val="Font Style18"/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a0"/>
  </w:style>
  <w:style w:type="character" w:customStyle="1" w:styleId="af6">
    <w:name w:val="Обычный (веб)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Pr>
      <w:color w:val="0000FF"/>
      <w:u w:val="single"/>
    </w:rPr>
  </w:style>
  <w:style w:type="character" w:styleId="af8">
    <w:name w:val="FollowedHyperlink"/>
    <w:basedOn w:val="a0"/>
    <w:rPr>
      <w:color w:val="800080"/>
      <w:u w:val="single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nobr">
    <w:name w:val="nobr"/>
    <w:basedOn w:val="a0"/>
  </w:style>
  <w:style w:type="character" w:customStyle="1" w:styleId="21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Strong"/>
    <w:basedOn w:val="a0"/>
    <w:rPr>
      <w:b/>
      <w:bCs/>
    </w:rPr>
  </w:style>
  <w:style w:type="character" w:customStyle="1" w:styleId="text-download">
    <w:name w:val="text-download"/>
    <w:basedOn w:val="a0"/>
  </w:style>
  <w:style w:type="character" w:customStyle="1" w:styleId="uscl-over-counter">
    <w:name w:val="uscl-over-counter"/>
    <w:basedOn w:val="a0"/>
  </w:style>
  <w:style w:type="character" w:styleId="afb">
    <w:name w:val="annotation reference"/>
    <w:basedOn w:val="a0"/>
    <w:rPr>
      <w:sz w:val="16"/>
      <w:szCs w:val="16"/>
    </w:rPr>
  </w:style>
  <w:style w:type="character" w:customStyle="1" w:styleId="afc">
    <w:name w:val="Текст примечания Знак"/>
    <w:basedOn w:val="a0"/>
    <w:rPr>
      <w:sz w:val="20"/>
      <w:szCs w:val="20"/>
    </w:rPr>
  </w:style>
  <w:style w:type="character" w:customStyle="1" w:styleId="afd">
    <w:name w:val="Тема примечания Знак"/>
    <w:basedOn w:val="af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Textbody">
    <w:name w:val="Text body"/>
    <w:basedOn w:val="a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rtejustify1">
    <w:name w:val="rtejustify1"/>
    <w:basedOn w:val="a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0">
    <w:name w:val="Основной текст2"/>
    <w:basedOn w:val="a"/>
    <w:pPr>
      <w:shd w:val="clear" w:color="auto" w:fill="FFFFFF"/>
      <w:spacing w:before="300" w:after="0" w:line="379" w:lineRule="exact"/>
      <w:ind w:firstLine="709"/>
      <w:jc w:val="both"/>
    </w:pPr>
  </w:style>
  <w:style w:type="paragraph" w:styleId="a8">
    <w:name w:val="Normal (Web)"/>
    <w:basedOn w:val="a"/>
    <w:pPr>
      <w:spacing w:before="10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pPr>
      <w:spacing w:before="100" w:after="100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pPr>
      <w:widowControl w:val="0"/>
      <w:suppressAutoHyphens/>
      <w:snapToGrid w:val="0"/>
      <w:spacing w:after="0" w:line="30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s1">
    <w:name w:val="s_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2">
    <w:name w:val="s_2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before="300" w:after="300" w:line="331" w:lineRule="exact"/>
      <w:textAlignment w:val="auto"/>
    </w:pPr>
  </w:style>
  <w:style w:type="paragraph" w:styleId="aa">
    <w:name w:val="No Spacing"/>
    <w:pPr>
      <w:suppressAutoHyphens/>
      <w:spacing w:after="0" w:line="240" w:lineRule="auto"/>
      <w:textAlignment w:val="auto"/>
    </w:pPr>
  </w:style>
  <w:style w:type="paragraph" w:styleId="ab">
    <w:name w:val="annotation text"/>
    <w:basedOn w:val="a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rPr>
      <w:b/>
      <w:bCs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af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Pr>
      <w:rFonts w:ascii="Times New Roman" w:hAnsi="Times New Roman"/>
      <w:b/>
      <w:sz w:val="24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rPr>
      <w:shd w:val="clear" w:color="auto" w:fill="FFFFFF"/>
    </w:rPr>
  </w:style>
  <w:style w:type="character" w:styleId="af4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FontStyle18">
    <w:name w:val="Font Style18"/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a0"/>
  </w:style>
  <w:style w:type="character" w:customStyle="1" w:styleId="af6">
    <w:name w:val="Обычный (веб)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Pr>
      <w:color w:val="0000FF"/>
      <w:u w:val="single"/>
    </w:rPr>
  </w:style>
  <w:style w:type="character" w:styleId="af8">
    <w:name w:val="FollowedHyperlink"/>
    <w:basedOn w:val="a0"/>
    <w:rPr>
      <w:color w:val="800080"/>
      <w:u w:val="single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nobr">
    <w:name w:val="nobr"/>
    <w:basedOn w:val="a0"/>
  </w:style>
  <w:style w:type="character" w:customStyle="1" w:styleId="21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Strong"/>
    <w:basedOn w:val="a0"/>
    <w:rPr>
      <w:b/>
      <w:bCs/>
    </w:rPr>
  </w:style>
  <w:style w:type="character" w:customStyle="1" w:styleId="text-download">
    <w:name w:val="text-download"/>
    <w:basedOn w:val="a0"/>
  </w:style>
  <w:style w:type="character" w:customStyle="1" w:styleId="uscl-over-counter">
    <w:name w:val="uscl-over-counter"/>
    <w:basedOn w:val="a0"/>
  </w:style>
  <w:style w:type="character" w:styleId="afb">
    <w:name w:val="annotation reference"/>
    <w:basedOn w:val="a0"/>
    <w:rPr>
      <w:sz w:val="16"/>
      <w:szCs w:val="16"/>
    </w:rPr>
  </w:style>
  <w:style w:type="character" w:customStyle="1" w:styleId="afc">
    <w:name w:val="Текст примечания Знак"/>
    <w:basedOn w:val="a0"/>
    <w:rPr>
      <w:sz w:val="20"/>
      <w:szCs w:val="20"/>
    </w:rPr>
  </w:style>
  <w:style w:type="character" w:customStyle="1" w:styleId="afd">
    <w:name w:val="Тема примечания Знак"/>
    <w:basedOn w:val="af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Наталья Полянская</cp:lastModifiedBy>
  <cp:revision>2</cp:revision>
  <cp:lastPrinted>2025-01-28T03:49:00Z</cp:lastPrinted>
  <dcterms:created xsi:type="dcterms:W3CDTF">2022-02-24T09:37:00Z</dcterms:created>
  <dcterms:modified xsi:type="dcterms:W3CDTF">2025-01-28T03:49:00Z</dcterms:modified>
</cp:coreProperties>
</file>